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png" ContentType="image/png"/>
  <Override PartName="/word/media/rId42.png" ContentType="image/png"/>
  <Override PartName="/word/media/rId48.png" ContentType="image/png"/>
  <Override PartName="/word/media/rId45.png" ContentType="image/png"/>
  <Override PartName="/word/media/rId38.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role</w:t>
      </w:r>
      <w:r>
        <w:t xml:space="preserve"> </w:t>
      </w:r>
      <w:r>
        <w:t xml:space="preserve">of</w:t>
      </w:r>
      <w:r>
        <w:t xml:space="preserve"> </w:t>
      </w:r>
      <w:r>
        <w:t xml:space="preserve">prey</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cumulated experience shapes hunting success in predators across repeated interactions with their prey. Our results show that prey of greater skill at avoiding predation relied on faster movement to outmanoeuver predators, which limited the maximum hunting success of predators in the long term. Yet strong variation in expertise acquisition remained among predators, even after accounting for prey movement behaviour. We also observed that predators with a lower initial hunting success did not show improvements over time, while those with the highest initial success remained successful. Moreover, individuals with a lower rate of gain in expertise showed the greatest long term hunting success. These observations suggest cognitive styles in predators that may explain long term differences in hunting success. We further discuss the potential mechanisms underlying these patterns.</w:t>
      </w:r>
    </w:p>
    <w:p>
      <w:pPr>
        <w:pStyle w:val="BodyText"/>
      </w:pPr>
      <w:r>
        <w:t xml:space="preserve">Keywords: predator-prey interactions, experience, learning, movement, virtual ecology, videogames</w:t>
      </w:r>
    </w:p>
    <w:p>
      <w:r>
        <w:br w:type="page"/>
      </w:r>
    </w:p>
    <w:bookmarkEnd w:id="20"/>
    <w:bookmarkStart w:id="21"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This process is usually characterised by a gradual improvement in performance over time</w:t>
      </w:r>
      <w:r>
        <w:t xml:space="preserve"> </w:t>
      </w:r>
      <w:r>
        <w:t xml:space="preserve">(Dukas 2008; Rutz 2012; De Resende, Ottoni, and Fragaszy 2008)</w:t>
      </w:r>
      <w:r>
        <w:t xml:space="preserve">.</w:t>
      </w:r>
    </w:p>
    <w:p>
      <w:pPr>
        <w:pStyle w:val="BodyText"/>
      </w:pPr>
      <w:r>
        <w:t xml:space="preserve">Different mechanisms can be involded in the acquisition of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To achieve this, predators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tactics such as camouflage to avoid detection and rapid escapes to evade capture</w:t>
      </w:r>
      <w:r>
        <w:t xml:space="preserve"> </w:t>
      </w:r>
      <w:r>
        <w:t xml:space="preserve">(Walker et al. 2005; Kelley and Magurran 2011; Herbert-Read et al. 2017)</w:t>
      </w:r>
      <w:r>
        <w:t xml:space="preserve">. These antipredator strategies are hypothesized to disrupt a predator’s capacity to acquire hunting expertise, thus driving differences in prey consumption among predators</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can also improve their antipredator strategies through continued exposure to predators, thus gaining skill at avoiding predation</w:t>
      </w:r>
      <w:r>
        <w:t xml:space="preserve"> </w:t>
      </w:r>
      <w:r>
        <w:t xml:space="preserve">(Turner, Turner, and Lappi 2006; Kelley and Magurran 2011; Lönnstedt et al. 2012)</w:t>
      </w:r>
      <w:r>
        <w:t xml:space="preserve">. For instance, prey alter their activity patterns under increased predation risk</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and avoiding predation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during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In</w:t>
      </w:r>
      <w:r>
        <w:t xml:space="preserve"> </w:t>
      </w:r>
      <w:r>
        <w:rPr>
          <w:iCs/>
          <w:i/>
        </w:rPr>
        <w:t xml:space="preserve">Dead by Daylight</w:t>
      </w:r>
      <w:r>
        <w:t xml:space="preserve">, a ranking system indicates whether prey are skilled when they repeatedly avoid detection, collect resources, and escape predators from one match to another (see Methods for details). Hence, prey with more skill should display improved antipredator behaviour, and we expect that prey with greater predator-avoidance skills will move at faster speeds and cover more space in the virtual environment.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1"/>
    <w:bookmarkStart w:id="33" w:name="materials-and-methods"/>
    <w:p>
      <w:pPr>
        <w:pStyle w:val="Heading1"/>
      </w:pPr>
      <w:r>
        <w:t xml:space="preserve">MATERIALS AND METHODS</w:t>
      </w:r>
    </w:p>
    <w:bookmarkStart w:id="25"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2">
        <w:r>
          <w:rPr>
            <w:rStyle w:val="Hyperlink"/>
          </w:rPr>
          <w:t xml:space="preserve">https://deadbydaylight.fandom.com/wiki/Killers</w:t>
        </w:r>
      </w:hyperlink>
      <w:r>
        <w:t xml:space="preserve">. Details on the size and structure of the different virtual environments are available at</w:t>
      </w:r>
      <w:r>
        <w:t xml:space="preserve"> </w:t>
      </w:r>
      <w:hyperlink r:id="rId23">
        <w:r>
          <w:rPr>
            <w:rStyle w:val="Hyperlink"/>
          </w:rPr>
          <w:t xml:space="preserve">https://deadbydaylight.fandom.com/wiki/Realms</w:t>
        </w:r>
      </w:hyperlink>
      <w:r>
        <w:t xml:space="preserve">. We provide a safe copy of those webpages for consultation on our GitHub repository (</w:t>
      </w:r>
      <w:hyperlink r:id="rId24">
        <w:r>
          <w:rPr>
            <w:rStyle w:val="Hyperlink"/>
          </w:rPr>
          <w:t xml:space="preserve">https://github.com/quantitative-ecologist/predator-expertise</w:t>
        </w:r>
      </w:hyperlink>
      <w:r>
        <w:t xml:space="preserve">).</w:t>
      </w:r>
    </w:p>
    <w:bookmarkEnd w:id="25"/>
    <w:bookmarkStart w:id="27"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All the relevant information on ranks is available on this webpage</w:t>
      </w:r>
      <w:r>
        <w:t xml:space="preserve"> </w:t>
      </w:r>
      <w:hyperlink r:id="rId26">
        <w:r>
          <w:rPr>
            <w:rStyle w:val="Hyperlink"/>
          </w:rPr>
          <w:t xml:space="preserve">https://deadbydaylight.fandom.com/wiki/Rank</w:t>
        </w:r>
      </w:hyperlink>
      <w:r>
        <w:t xml:space="preserve">, of which we keep a persistent copy on our GitHub repository (</w:t>
      </w:r>
      <w:hyperlink r:id="rId24">
        <w:r>
          <w:rPr>
            <w:rStyle w:val="Hyperlink"/>
          </w:rPr>
          <w:t xml:space="preserve">https://github.com/quantitative-ecologist/predator-expertise</w:t>
        </w:r>
      </w:hyperlink>
      <w:r>
        <w:t xml:space="preserve">). In each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7"/>
    <w:bookmarkStart w:id="32" w:name="data-analyses"/>
    <w:p>
      <w:pPr>
        <w:pStyle w:val="Heading2"/>
      </w:pPr>
      <w:r>
        <w:t xml:space="preserve">Data analyses</w:t>
      </w:r>
    </w:p>
    <w:bookmarkStart w:id="28"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w:t>
      </w:r>
      <w:r>
        <w:t xml:space="preserve"> </w:t>
      </w:r>
      <w:r>
        <w:t xml:space="preserve">(for reference, see 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We fitted three different models (Table 1) that predicted the expected probability of capturing the four prey</w:t>
      </w:r>
      <w:r>
        <w:t xml:space="preserve"> </w:t>
      </w:r>
      <m:oMath>
        <m:sSub>
          <m:e>
            <m:r>
              <m:t>μ</m:t>
            </m:r>
          </m:e>
          <m:sub>
            <m:r>
              <m:t>i</m:t>
            </m:r>
          </m:sub>
        </m:sSub>
      </m:oMath>
      <w:r>
        <w:t xml:space="preserve"> </w:t>
      </w:r>
      <w:r>
        <w:t xml:space="preserve">as a function of experience.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w:t>
      </w:r>
      <w:r>
        <w:t xml:space="preserve"> </w:t>
      </w:r>
      <m:oMath>
        <m:r>
          <m:t>a</m:t>
        </m:r>
      </m:oMath>
      <w:r>
        <w:t xml:space="preserve">,</w:t>
      </w:r>
      <w:r>
        <w:t xml:space="preserve"> </w:t>
      </w:r>
      <m:oMath>
        <m:r>
          <m:t>b</m:t>
        </m:r>
      </m:oMath>
      <w:r>
        <w:t xml:space="preserve">, and</w:t>
      </w:r>
      <w:r>
        <w:t xml:space="preserve"> </w:t>
      </w:r>
      <m:oMath>
        <m:r>
          <m:t>c</m:t>
        </m:r>
      </m:oMath>
      <w:r>
        <w:t xml:space="preserve">, represent the asymptote (maximum hunting success), the initial value (initial success), and the rate of gain in expertise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in all models. To test if prey behaviour shaped the acquisition of predator expertise, asymptotic parameters also vary as a function of prey behaviour in models II and III (Table 1).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prey behaviour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 and</w:t>
      </w:r>
      <w:r>
        <w:t xml:space="preserve"> </w:t>
      </w:r>
      <m:oMath>
        <m:sSub>
          <m:e>
            <m:r>
              <m:t>u</m:t>
            </m:r>
          </m:e>
          <m:sub>
            <m:r>
              <m:t>k</m:t>
            </m:r>
            <m:r>
              <m:rPr>
                <m:sty m:val="p"/>
              </m:rPr>
              <m:t>,</m:t>
            </m:r>
            <m:r>
              <m:t>j</m:t>
            </m:r>
          </m:sub>
        </m:sSub>
      </m:oMath>
      <w:r>
        <w:t xml:space="preserve"> </w:t>
      </w:r>
      <w:r>
        <w:t xml:space="preserve">is a predator-specific random intercept. The prey behaviours included in</w:t>
      </w:r>
      <w:r>
        <w:t xml:space="preserve"> </w:t>
      </w:r>
      <m:oMath>
        <m:r>
          <m:rPr>
            <m:sty m:val="b"/>
          </m:rPr>
          <m:t>W</m:t>
        </m:r>
      </m:oMath>
      <w:r>
        <w:t xml:space="preserve"> </w:t>
      </w:r>
      <w:r>
        <w:t xml:space="preserve">for models II and III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 We included prey behaviours as covariates only on parameters a and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gridCol w:w="9338"/>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parameter 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parameter 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p>
    <w:p>
      <w:pPr>
        <w:pStyle w:val="BodyText"/>
      </w:pPr>
      <w:r>
        <w:t xml:space="preserve">We defined informative priors for the asymptotic parameter’s intercepts to reflect biologically meaningful expectations. We centered the upper asymptote (</w:t>
      </w:r>
      <m:oMath>
        <m:r>
          <m:t>a</m:t>
        </m:r>
      </m:oMath>
      <w:r>
        <w:t xml:space="preserve">) at 1.39 (logit scale, corresponding to 80% success rate) with SD = 0.7, while the initial value (</w:t>
      </w:r>
      <m:oMath>
        <m:r>
          <m:t>b</m:t>
        </m:r>
      </m:oMath>
      <w:r>
        <w:t xml:space="preserve">) was centered at -1.10 (25% success rate) with SD = 0.7. We set a Normal(-5.5, 1) prior on the rate parameter (</w:t>
      </w:r>
      <m:oMath>
        <m:r>
          <m:t>c</m:t>
        </m:r>
      </m:oMath>
      <w:r>
        <w:t xml:space="preserve">), constraining it to plausible rates of improvement over the observed experience range. We used mildly informative priors for most effect sizes and variance components. The effects of prey speed and space use on parameters</w:t>
      </w:r>
      <w:r>
        <w:t xml:space="preserve"> </w:t>
      </w:r>
      <m:oMath>
        <m:r>
          <m:t>a</m:t>
        </m:r>
      </m:oMath>
      <w:r>
        <w:t xml:space="preserve"> </w:t>
      </w:r>
      <w:r>
        <w:t xml:space="preserve">and</w:t>
      </w:r>
      <w:r>
        <w:t xml:space="preserve"> </w:t>
      </w:r>
      <m:oMath>
        <m:r>
          <m:t>c</m:t>
        </m:r>
      </m:oMath>
      <w:r>
        <w:t xml:space="preserve"> </w:t>
      </w:r>
      <w:r>
        <w:t xml:space="preserve">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We tested the hypothesis that antipredator behaviour generates differences among predators in expertise acquisition by 1) assessing the relationship between the parameter values of</w:t>
      </w:r>
      <w:r>
        <w:t xml:space="preserve"> </w:t>
      </w:r>
      <m:oMath>
        <m:r>
          <m:t>a</m:t>
        </m:r>
      </m:oMath>
      <w:r>
        <w:t xml:space="preserve">,</w:t>
      </w:r>
      <w:r>
        <w:t xml:space="preserve"> </w:t>
      </w:r>
      <m:oMath>
        <m:r>
          <m:t>b</m:t>
        </m:r>
      </m:oMath>
      <w:r>
        <w:t xml:space="preserve">, and</w:t>
      </w:r>
      <w:r>
        <w:t xml:space="preserve"> </w:t>
      </w:r>
      <m:oMath>
        <m:r>
          <m:t>c</m:t>
        </m:r>
      </m:oMath>
      <w:r>
        <w:t xml:space="preserve">, and prey behaviour, and 2) by comparing the individual-level standard deviation parameters of</w:t>
      </w:r>
      <w:r>
        <w:t xml:space="preserve"> </w:t>
      </w:r>
      <m:oMath>
        <m:r>
          <m:t>a</m:t>
        </m:r>
      </m:oMath>
      <w:r>
        <w:t xml:space="preserve">,</w:t>
      </w:r>
      <w:r>
        <w:t xml:space="preserve"> </w:t>
      </w:r>
      <m:oMath>
        <m:r>
          <m:t>b</m:t>
        </m:r>
      </m:oMath>
      <w:r>
        <w:t xml:space="preserve">, and</w:t>
      </w:r>
      <w:r>
        <w:t xml:space="preserve"> </w:t>
      </w:r>
      <m:oMath>
        <m:r>
          <m:t>c</m:t>
        </m:r>
      </m:oMath>
      <w:r>
        <w:t xml:space="preserve">. Specifically, we compared the posterior distributions of standard deviations for the random intercepts (i.e., mean differences among predators) among the three models for parameters</w:t>
      </w:r>
      <w:r>
        <w:t xml:space="preserve"> </w:t>
      </w:r>
      <m:oMath>
        <m:r>
          <m:t>a</m:t>
        </m:r>
      </m:oMath>
      <w:r>
        <w:t xml:space="preserve">,</w:t>
      </w:r>
      <w:r>
        <w:t xml:space="preserve"> </w:t>
      </w:r>
      <m:oMath>
        <m:r>
          <m:t>b</m:t>
        </m:r>
      </m:oMath>
      <w:r>
        <w:t xml:space="preserve">, and</w:t>
      </w:r>
      <w:r>
        <w:t xml:space="preserve"> </w:t>
      </w:r>
      <m:oMath>
        <m:r>
          <m:t>c</m:t>
        </m:r>
      </m:oMath>
      <w:r>
        <w:t xml:space="preserve"> </w:t>
      </w:r>
      <w:r>
        <w:t xml:space="preserve">(Figure 4). Lastly, we computed the widely applicable information criterion (WAIC) to obtain the expected pointwise density of each model,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8"/>
    <w:bookmarkStart w:id="29"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mixed-effects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w:t>
      </w:r>
      <w:r>
        <w:t xml:space="preserve"> </w:t>
      </w:r>
      <w:r>
        <w:rPr>
          <w:bCs/>
          <w:b/>
        </w:rPr>
        <w:t xml:space="preserve">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rPr>
          <w:bCs/>
          <w:b/>
        </w:rPr>
        <w:t xml:space="preserve">) and rate of space coverage (</w:t>
      </w:r>
      <m:oMath>
        <m:r>
          <m:t>N</m:t>
        </m:r>
        <m:d>
          <m:dPr>
            <m:begChr m:val="("/>
            <m:endChr m:val=")"/>
            <m:sepChr m:val=""/>
            <m:grow/>
          </m:dPr>
          <m:e>
            <m:r>
              <m:t>15</m:t>
            </m:r>
            <m:r>
              <m:rPr>
                <m:sty m:val="p"/>
              </m:rPr>
              <m:t>,</m:t>
            </m:r>
            <m:r>
              <m:t> </m:t>
            </m:r>
            <m:sSup>
              <m:e>
                <m:r>
                  <m:t>0.5</m:t>
                </m:r>
              </m:e>
              <m:sup>
                <m:r>
                  <m:t>2</m:t>
                </m:r>
              </m:sup>
            </m:sSup>
          </m:e>
        </m:d>
      </m:oMath>
      <w:r>
        <w:rPr>
          <w:bCs/>
          <w:b/>
        </w:rP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rPr>
          <w:bCs/>
          <w:b/>
        </w:rPr>
        <w:t xml:space="preserve">) in both models.</w:t>
      </w:r>
    </w:p>
    <w:bookmarkEnd w:id="29"/>
    <w:bookmarkStart w:id="31"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0">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24">
        <w:r>
          <w:rPr>
            <w:rStyle w:val="Hyperlink"/>
          </w:rPr>
          <w:t xml:space="preserve">https://github.com/quantitative-ecologist/predator-expertise</w:t>
        </w:r>
      </w:hyperlink>
      <w:r>
        <w:t xml:space="preserve">).</w:t>
      </w:r>
    </w:p>
    <w:bookmarkEnd w:id="31"/>
    <w:bookmarkEnd w:id="32"/>
    <w:bookmarkEnd w:id="33"/>
    <w:bookmarkStart w:id="52" w:name="results"/>
    <w:p>
      <w:pPr>
        <w:pStyle w:val="Heading1"/>
      </w:pPr>
      <w:r>
        <w:t xml:space="preserve">RESULTS</w:t>
      </w:r>
    </w:p>
    <w:bookmarkStart w:id="37"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 title="" id="35" name="Picture"/>
            <a:graphic>
              <a:graphicData uri="http://schemas.openxmlformats.org/drawingml/2006/picture">
                <pic:pic>
                  <pic:nvPicPr>
                    <pic:cNvPr descr="C:/Users/User/Documents/GitHub/Chapter2/outputs/outputs_figures/figure1.png" id="36" name="Picture"/>
                    <pic:cNvPicPr>
                      <a:picLocks noChangeArrowheads="1" noChangeAspect="1"/>
                    </pic:cNvPicPr>
                  </pic:nvPicPr>
                  <pic:blipFill>
                    <a:blip r:embed="rId34"/>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which are held constant at their mean values.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Yet, model III, which included all prey features, was the best at predicting the acquisition of predator expertise (Table 2).</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BodyText"/>
      </w:pPr>
    </w:p>
    <w:bookmarkEnd w:id="37"/>
    <w:bookmarkStart w:id="41" w:name="prey-skill-and-antipredator-behaviour"/>
    <w:p>
      <w:pPr>
        <w:pStyle w:val="Heading2"/>
      </w:pPr>
      <w:r>
        <w:t xml:space="preserve">Prey skill and antipredator behaviour</w:t>
      </w:r>
    </w:p>
    <w:p>
      <w:pPr>
        <w:pStyle w:val="FirstParagraph"/>
      </w:pPr>
      <w:r>
        <w:t xml:space="preserve">Prey groups composed of individuals with greater skill moved faster than those composed of individuals with lower skill (Figure 2A). In contrast, there was no change in prey space coverage with increasing skill (Figure 2B). We found strong evidence that hunting success declined when predators pursued faster prey (Figure S2 A). However, predators were slightly more successful when hunting prey that covered space at a faster rate (Figure S2 B). Predators were also less successful when hunting prey of greater skill (i.e. lower rank values, Figure S2 C).</w:t>
      </w:r>
    </w:p>
    <w:p>
      <w:pPr>
        <w:pStyle w:val="CaptionedFigure"/>
      </w:pPr>
      <w:r>
        <w:drawing>
          <wp:inline>
            <wp:extent cx="5943600" cy="2377440"/>
            <wp:effectExtent b="0" l="0" r="0" t="0"/>
            <wp:docPr descr="Figure 2.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 title="" id="39" name="Picture"/>
            <a:graphic>
              <a:graphicData uri="http://schemas.openxmlformats.org/drawingml/2006/picture">
                <pic:pic>
                  <pic:nvPicPr>
                    <pic:cNvPr descr="C:/Users/User/Documents/GitHub/Chapter2/outputs/outputs_figures/figure5.png" id="40" name="Picture"/>
                    <pic:cNvPicPr>
                      <a:picLocks noChangeArrowheads="1" noChangeAspect="1"/>
                    </pic:cNvPicPr>
                  </pic:nvPicPr>
                  <pic:blipFill>
                    <a:blip r:embed="rId38"/>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2</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The black line represents the median posterior predictions, and the gray bands are the 89% comptability intervals. Lower rank values indicate that the prey group is more skilled, while higher values indicate that the prey are less skilled. Panel A is for the linear model of prey speed, and panel B is for the linear model of prey space coverage.</w:t>
      </w:r>
    </w:p>
    <w:bookmarkEnd w:id="41"/>
    <w:bookmarkStart w:id="51"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However, we did not detect an effect of prey behaviour on individual rates of gain in expertise (Figure 3). There was also no effect of prey space coverage on the predator’s maximum hunting success (Figure 3). Yet, there was a marginal negative effect of prey speed on the maximum hunting success, suggesting that predators that encountered faster prey over time had a lower maximum hunting success (Figure 3).</w:t>
      </w:r>
    </w:p>
    <w:p>
      <w:pPr>
        <w:pStyle w:val="CaptionedFigure"/>
      </w:pPr>
      <w:r>
        <w:drawing>
          <wp:inline>
            <wp:extent cx="5943600" cy="4754880"/>
            <wp:effectExtent b="0" l="0" r="0" t="0"/>
            <wp:docPr descr="Figure 3.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3" name="Picture"/>
            <a:graphic>
              <a:graphicData uri="http://schemas.openxmlformats.org/drawingml/2006/picture">
                <pic:pic>
                  <pic:nvPicPr>
                    <pic:cNvPr descr="C:/Users/User/Documents/GitHub/Chapter2/outputs/outputs_figures/figure2.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3</w:t>
      </w:r>
      <w:r>
        <w:t xml:space="preserve">. Predicted relationships between the asymptotic model parameters describing expertise acquisition and prey behaviour. Individual observations are the posterior median parameter values for each predator. The black line represents the median posterior predictions, and the gray band the 89% compatibility intervals.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p>
      <w:pPr>
        <w:pStyle w:val="BodyText"/>
      </w:pPr>
      <w:r>
        <w:t xml:space="preserve">The standard deviation of the rate of gain in expertise in model I (median model I = 1.14, 89% CI: [1.03, 1.27]) was smaller than those of model II and model III (Figure 4). Differences in the rate of expertise acquisition among predators were similar in model II and model III (median model II = 1.44, 89% CI: [1.31, 1.58] vs median model III = 1.40, 89% CI: [1.27, 1.54]), with the posterior distributions of the standard deviations showing nearly complete overlap (Figure 4).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model III (Figure 4).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4.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46" name="Picture"/>
            <a:graphic>
              <a:graphicData uri="http://schemas.openxmlformats.org/drawingml/2006/picture">
                <pic:pic>
                  <pic:nvPicPr>
                    <pic:cNvPr descr="C:/Users/User/Documents/GitHub/Chapter2/outputs/outputs_figures/figure4.png" id="47" name="Picture"/>
                    <pic:cNvPicPr>
                      <a:picLocks noChangeArrowheads="1" noChangeAspect="1"/>
                    </pic:cNvPicPr>
                  </pic:nvPicPr>
                  <pic:blipFill>
                    <a:blip r:embed="rId45"/>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4</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p>
      <w:pPr>
        <w:pStyle w:val="BodyText"/>
      </w:pPr>
      <w:r>
        <w:t xml:space="preserve">Individuals that had a low initial hunting success ended up with a lower maximum hunting success (Figure 5). In addition, individuals with the greatest maximum hunting success were those with a lower rate of gain in expertise (Figure 5). However, this relationship was decoupled when we accounted for prey behaviour in the model (cor: -002, 89% CI: [-0.16, 0.12]), indicating that prey behaviour influenced the relationship between the maximum hunting success and the rate of gain in expertise. Lastly, there was no apparent relationship between the individual rates of gain in expertise and the maximum hunting success (Figure 5).</w:t>
      </w:r>
    </w:p>
    <w:p>
      <w:pPr>
        <w:pStyle w:val="CaptionedFigure"/>
      </w:pPr>
      <w:r>
        <w:drawing>
          <wp:inline>
            <wp:extent cx="5943600" cy="1910442"/>
            <wp:effectExtent b="0" l="0" r="0" t="0"/>
            <wp:docPr descr="Figure 5.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49" name="Picture"/>
            <a:graphic>
              <a:graphicData uri="http://schemas.openxmlformats.org/drawingml/2006/picture">
                <pic:pic>
                  <pic:nvPicPr>
                    <pic:cNvPr descr="C:/Users/User/Documents/GitHub/Chapter2/outputs/outputs_figures/figure3.png" id="50" name="Picture"/>
                    <pic:cNvPicPr>
                      <a:picLocks noChangeArrowheads="1" noChangeAspect="1"/>
                    </pic:cNvPicPr>
                  </pic:nvPicPr>
                  <pic:blipFill>
                    <a:blip r:embed="rId48"/>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5</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bookmarkEnd w:id="51"/>
    <w:bookmarkEnd w:id="52"/>
    <w:bookmarkStart w:id="54" w:name="discussion"/>
    <w:p>
      <w:pPr>
        <w:pStyle w:val="Heading1"/>
      </w:pPr>
      <w:r>
        <w:t xml:space="preserve">DISCUSSION</w:t>
      </w:r>
    </w:p>
    <w:p>
      <w:pPr>
        <w:pStyle w:val="FirstParagraph"/>
      </w:pPr>
      <w:r>
        <w:t xml:space="preserve">Using a virtual predator-prey system where we monitored interactions over repeated encounters, we tested the hypothesis that prey behaviour modulates the acquisition of predator hunting expertise. We show that, on average, predators are expected to increase their hunting success with experience when hunting prey of average skill. Overall, prey behaviour did not influence the rate of expertise acquisition. However, predators that encountered slower prey over their experience achieved greater maximum hunting success, which is most likely due to faster prey being more difficult to capture. This is supported by our analysis showing that prey of greater skill moved faster. The extent of the variation in expertise acquisition among individuals was shaped by the prey’s skill and the game pairing system, as observed by comparing the posterior distributions of individual-level parameters among models with and without the prey behaviour (Figure 4). Predators displayed important differences in expertise acquisition that were apparent only after accounting for prey skill. Accounting for prey behaviour further revealed variation in expertise acquisition that was masked by the pairing system. While we cannot establish whether prey behavior causally influenced expertise acquisition due to this game feature, our observations suggest that prey behavior may play a role in shaping individual differences in expertise acquisition by limiting the maximum hunting success achievable.</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failing to account for it results in predators maintaining a near constant hunting success over repeated encounters. Controlling for the prey’s skill (i.e., prey rank) in our models reveals an asymptotic relationship between hunting success and experience, wherein initial gains in success were significant (expertise increased rapidly from the first match up to 150 matches) and gradually stabilized as experience accumulated. This pattern of expertise acquisition is consistent with empirical studies in both humans and nonhuman animals</w:t>
      </w:r>
      <w:r>
        <w:t xml:space="preserve"> </w:t>
      </w:r>
      <w:r>
        <w:t xml:space="preserve">(reviewed in Dukas 2019)</w:t>
      </w:r>
      <w:r>
        <w:t xml:space="preserve">, and could be explained by improvements in foraging performance. For example, predators may have improved at locating prey, learned how to navigate the environment, or developed increased dexterity at handling prey</w:t>
      </w:r>
      <w:r>
        <w:t xml:space="preserve"> </w:t>
      </w:r>
      <w:r>
        <w:t xml:space="preserve">(Dukas 2008; Reid, Seebacher, and Ward 2010)</w:t>
      </w:r>
      <w:r>
        <w:t xml:space="preserve">. Our observations also provide clues on how expertise acquisition may change given the difficulty of the task. We observed that experienced predators could achieve greater long term success if they were not matched to highly skilled prey, or have a slower gain in expertise if the skill of the prey encountered was consistently higher (Figure S3). This is further supported by our results showing lower average hunting success against prey of greater skill (Figure S2). Whether this is due to the prey interfering with cognitive processes that limit improvements in foraging performance remains to be tested.</w:t>
      </w:r>
    </w:p>
    <w:p>
      <w:pPr>
        <w:pStyle w:val="BodyText"/>
      </w:pPr>
      <w:r>
        <w:t xml:space="preserve">Our findings suggest a marginal effect of prey behaviour in shaping expertise acquisition in predators. We found that the maximum hunting success was slightly lower in predators that mostly encountered faster prey. We previously showed in</w:t>
      </w:r>
      <w:r>
        <w:t xml:space="preserve"> </w:t>
      </w:r>
      <w:r>
        <w:rPr>
          <w:iCs/>
          <w:i/>
        </w:rPr>
        <w:t xml:space="preserve">Dead by Daylight</w:t>
      </w:r>
      <w:r>
        <w:t xml:space="preserve"> </w:t>
      </w:r>
      <w:r>
        <w:t xml:space="preserve">that faster movement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skillful prey, suggesting that the effect of prey skill on the gain in expertise by predators was in part mediated by changes in prey behaviour following previous encounters</w:t>
      </w:r>
      <w:r>
        <w:t xml:space="preserve"> </w:t>
      </w:r>
      <w:r>
        <w:t xml:space="preserve">(Tetzlaff, Sperry, and DeGregorio 2019)</w:t>
      </w:r>
      <w:r>
        <w:t xml:space="preserve">. Different mechanisms may explain why faster prey were more difficult to hunt. For example, predators have limited attention spans that influence prey choice and the formation of search images when they need to focus on hunting multiple prey simultaneously</w:t>
      </w:r>
      <w:r>
        <w:t xml:space="preserve"> </w:t>
      </w:r>
      <w:r>
        <w:t xml:space="preserve">(Dukas and Kamil 2001; Troscianko, Skelhorn, and Stevens 2018)</w:t>
      </w:r>
      <w:r>
        <w:t xml:space="preserve">. If the prey group was consistently moving faster in a coordinated fashion, then it would be difficult for predators to focus on a single prey while others rapidly progress on collecting resources</w:t>
      </w:r>
      <w:r>
        <w:t xml:space="preserve"> </w:t>
      </w:r>
      <w:r>
        <w:t xml:space="preserve">(Ioannou, Guttal, and Couzin 2012)</w:t>
      </w:r>
      <w:r>
        <w:t xml:space="preserve">. Rapid prey movements are often accompanied by unpredictability, which has been shown to hinder pursuit and increase the likelihood of predators abandoning the chase</w:t>
      </w:r>
      <w:r>
        <w:t xml:space="preserve"> </w:t>
      </w:r>
      <w:r>
        <w:t xml:space="preserve">(Herbert-Read et al. 2017; Richardson et al. 2018; Jones, Jackson, and Ruxton 2011)</w:t>
      </w:r>
      <w:r>
        <w:t xml:space="preserve">. Moreover, chasing faster prey demands specialized cognitive abilities and coordination that are energetically costly</w:t>
      </w:r>
      <w:r>
        <w:t xml:space="preserve"> </w:t>
      </w:r>
      <w:r>
        <w:t xml:space="preserve">(Kelley and Magurran 2011)</w:t>
      </w:r>
      <w:r>
        <w:t xml:space="preserve">. Hence, there may be neurological contraints that limit a predator’s ability to hunt multiple fast moving prey simultaneously. Parallel observations have been outlined in studies of prey camouflage strategies.</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by interfering with search image formation. Hence, our analyses provide evidence that prey movement behaviour could mediate the acquisition of hunting expertise by limiting long term hunting success in predators. It is worth noting that our models only capture linear effects on expertise acquisition; however, the distribution of individual rates of expertise acquisition suggest potential nonlinear dynamics that warrant further investigation, such as predators improving optimally at certain prey speed levels (Figure 3).</w:t>
      </w:r>
    </w:p>
    <w:p>
      <w:pPr>
        <w:pStyle w:val="BodyText"/>
      </w:pPr>
      <w:r>
        <w:t xml:space="preserve">After accounting for prey behaviour, individual predators still displayed important differences in the acquisition of expertise, indicating that they varied in their capacity to improve over time. This implies that other proximal or ecological mechanisms may be at play. For example, longer time intervals between hunting events are hypothesized to hinder or delay the acquisition of expertise due to information loss</w:t>
      </w:r>
      <w:r>
        <w:t xml:space="preserve"> </w:t>
      </w:r>
      <w:r>
        <w:t xml:space="preserve">(Endler 1991; Wright et al. 2022; Wooster et al. 2023)</w:t>
      </w:r>
      <w:r>
        <w:t xml:space="preserve">. A predator that played 300 matches within six months might forget critical information related to prey detection or escape patterns compared to one that played 300 matches within six weeks. Alternatively, predators may also shape their own expertise via their hunting tactic.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w:t>
      </w:r>
    </w:p>
    <w:p>
      <w:pPr>
        <w:pStyle w:val="BodyText"/>
      </w:pPr>
      <w:r>
        <w:t xml:space="preserve">Interestingly, individuals that had a lower initial hunting success ended up with a lower maximum hunting success, and those with a lower rate of gain achieved greater maximum hunting success. One possible explanation is that a</w:t>
      </w:r>
      <w:r>
        <w:t xml:space="preserve"> </w:t>
      </w:r>
      <w:r>
        <w:t xml:space="preserve">“</w:t>
      </w:r>
      <w:r>
        <w:t xml:space="preserve">slow and steady</w:t>
      </w:r>
      <w:r>
        <w:t xml:space="preserve">”</w:t>
      </w:r>
      <w:r>
        <w:t xml:space="preserve"> </w:t>
      </w:r>
      <w:r>
        <w:t xml:space="preserve">learning strategy was beneficial in the long term. Slow learners are expected to be more sensitive to their environment in early learning phases, allowing them to gather more information and be less prone to errors in decision-making over time</w:t>
      </w:r>
      <w:r>
        <w:t xml:space="preserve"> </w:t>
      </w:r>
      <w:r>
        <w:t xml:space="preserve">(Sih and Del Giudice 2012)</w:t>
      </w:r>
      <w:r>
        <w:t xml:space="preserve">. Empirical studies show that slow learners tend to be more explorative and flexible when their environment changes, while fast learners tend to be more rigid to changes in their environment and more prone to taking risks</w:t>
      </w:r>
      <w:r>
        <w:t xml:space="preserve"> </w:t>
      </w:r>
      <w:r>
        <w:t xml:space="preserve">(Moreira, Pulman, and Pottinger 2004; Coppens, de Boer, and Koolhaas 2010; Mazza et al. 2019)</w:t>
      </w:r>
      <w:r>
        <w:t xml:space="preserve">. As a result, predators that gained expertise at a slower rate may have explored with different strategies before finding the optimal tactic to hunt their prey, which ultimately paid off. However, an alternative explanation is that the nature of our hunting success variable (i.e., a maximum of four prey captures per game) may have produced a ceiling effect that reinforced the observed negative correlation between rates of gain and the maximum hunting success. Indeed, we can see in Figure 1 that a portion of predators with a greater baseline hunting success maintained an elevated hunting success across their experience that would necessarily result in their rate being lower. However, this appears to be the case only for a a small subset of individuals. In addition, we can see that individuals who started at a lower hunting success did not end up with an elevated maximum hunting success, suggesting that the ecological and cognitive mechanisms discussed above, such as encountering faster prey, are more likely to explain these patterns.</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 a</w:t>
      </w:r>
      <w:r>
        <w:t xml:space="preserve"> </w:t>
      </w:r>
      <w:r>
        <w:t xml:space="preserve">“</w:t>
      </w:r>
      <w:r>
        <w:t xml:space="preserve">real</w:t>
      </w:r>
      <w:r>
        <w:t xml:space="preserve">”</w:t>
      </w:r>
      <w:r>
        <w:t xml:space="preserve"> </w:t>
      </w:r>
      <w:r>
        <w:t xml:space="preserve">need to survive.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3" w:name="conclusions"/>
    <w:p>
      <w:pPr>
        <w:pStyle w:val="Heading2"/>
      </w:pPr>
      <w:r>
        <w:t xml:space="preserve">Conclusions</w:t>
      </w:r>
    </w:p>
    <w:p>
      <w:pPr>
        <w:pStyle w:val="FirstParagraph"/>
      </w:pPr>
      <w:r>
        <w:t xml:space="preserve">We provide partial evidence supporting the hypothesis that prey antipredator behaviour can drive the acquisition of hunting expertise using a human predator population in the game</w:t>
      </w:r>
      <w:r>
        <w:t xml:space="preserve"> </w:t>
      </w:r>
      <w:r>
        <w:rPr>
          <w:iCs/>
          <w:i/>
        </w:rPr>
        <w:t xml:space="preserve">Dead by Daylight</w:t>
      </w:r>
      <w:r>
        <w:t xml:space="preserve">. The effect of prey movement behaviour on expertise acquisition was observed only on the maximum hunting success. While there were important differences among individuals in expertise acquisition, we did not find conclusive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3"/>
    <w:bookmarkEnd w:id="54"/>
    <w:bookmarkStart w:id="55"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24">
        <w:r>
          <w:rPr>
            <w:rStyle w:val="Hyperlink"/>
          </w:rPr>
          <w:t xml:space="preserve">https://github.com/quantitative-ecologist/predator-expertise</w:t>
        </w:r>
      </w:hyperlink>
      <w:r>
        <w:t xml:space="preserve">.</w:t>
      </w:r>
    </w:p>
    <w:bookmarkEnd w:id="55"/>
    <w:bookmarkStart w:id="176" w:name="references"/>
    <w:p>
      <w:pPr>
        <w:pStyle w:val="Heading1"/>
      </w:pPr>
      <w:r>
        <w:t xml:space="preserve">REFERENCES</w:t>
      </w:r>
    </w:p>
    <w:bookmarkStart w:id="175" w:name="refs"/>
    <w:bookmarkStart w:id="57"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6">
        <w:r>
          <w:rPr>
            <w:rStyle w:val="Hyperlink"/>
          </w:rPr>
          <w:t xml:space="preserve">https://doi.org/10.1146/annurev.ecolsys.31.1.79</w:t>
        </w:r>
      </w:hyperlink>
      <w:r>
        <w:t xml:space="preserve">.</w:t>
      </w:r>
    </w:p>
    <w:bookmarkEnd w:id="57"/>
    <w:bookmarkStart w:id="59"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58">
        <w:r>
          <w:rPr>
            <w:rStyle w:val="Hyperlink"/>
          </w:rPr>
          <w:t xml:space="preserve">https://doi.org/10.1007/s00265-020-02833-0</w:t>
        </w:r>
      </w:hyperlink>
      <w:r>
        <w:t xml:space="preserve">.</w:t>
      </w:r>
    </w:p>
    <w:bookmarkEnd w:id="59"/>
    <w:bookmarkStart w:id="61"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0">
        <w:r>
          <w:rPr>
            <w:rStyle w:val="Hyperlink"/>
          </w:rPr>
          <w:t xml:space="preserve">https://doi.org/10.1098/rspb.2017.2146</w:t>
        </w:r>
      </w:hyperlink>
      <w:r>
        <w:t xml:space="preserve">.</w:t>
      </w:r>
    </w:p>
    <w:bookmarkEnd w:id="61"/>
    <w:bookmarkStart w:id="63"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2">
        <w:r>
          <w:rPr>
            <w:rStyle w:val="Hyperlink"/>
          </w:rPr>
          <w:t xml:space="preserve">https://doi.org/10.18637/jss.v080.i01</w:t>
        </w:r>
      </w:hyperlink>
      <w:r>
        <w:t xml:space="preserve">.</w:t>
      </w:r>
    </w:p>
    <w:bookmarkEnd w:id="63"/>
    <w:bookmarkStart w:id="65"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4">
        <w:r>
          <w:rPr>
            <w:rStyle w:val="Hyperlink"/>
          </w:rPr>
          <w:t xml:space="preserve">https://doi.org/10.1007/s00265-024-03463-6</w:t>
        </w:r>
      </w:hyperlink>
      <w:r>
        <w:t xml:space="preserve">.</w:t>
      </w:r>
    </w:p>
    <w:bookmarkEnd w:id="65"/>
    <w:bookmarkStart w:id="67"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6">
        <w:r>
          <w:rPr>
            <w:rStyle w:val="Hyperlink"/>
          </w:rPr>
          <w:t xml:space="preserve">https://doi.org/10.1016/j.anbehav.2021.06.010</w:t>
        </w:r>
      </w:hyperlink>
      <w:r>
        <w:t xml:space="preserve">.</w:t>
      </w:r>
    </w:p>
    <w:bookmarkEnd w:id="67"/>
    <w:bookmarkStart w:id="69"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68">
        <w:r>
          <w:rPr>
            <w:rStyle w:val="Hyperlink"/>
          </w:rPr>
          <w:t xml:space="preserve">https://doi.org/10.1037/xge0001710</w:t>
        </w:r>
      </w:hyperlink>
      <w:r>
        <w:t xml:space="preserve">.</w:t>
      </w:r>
    </w:p>
    <w:bookmarkEnd w:id="69"/>
    <w:bookmarkStart w:id="71" w:name="ref-coppens2010"/>
    <w:p>
      <w:pPr>
        <w:pStyle w:val="Bibliography"/>
      </w:pPr>
      <w:r>
        <w:t xml:space="preserve">Coppens, Caroline M., Sietse F. de Boer, and Jaap M. Koolhaas. 2010.</w:t>
      </w:r>
      <w:r>
        <w:t xml:space="preserve"> </w:t>
      </w:r>
      <w:r>
        <w:t xml:space="preserve">“Coping Styles and Behavioural Flexibility: Towards Underlying Mechanisms.”</w:t>
      </w:r>
      <w:r>
        <w:t xml:space="preserve"> </w:t>
      </w:r>
      <w:r>
        <w:rPr>
          <w:iCs/>
          <w:i/>
        </w:rPr>
        <w:t xml:space="preserve">Philosophical Transactions of the Royal Society B: Biological Sciences</w:t>
      </w:r>
      <w:r>
        <w:t xml:space="preserve"> </w:t>
      </w:r>
      <w:r>
        <w:t xml:space="preserve">365 (1560): 4021–28.</w:t>
      </w:r>
      <w:r>
        <w:t xml:space="preserve"> </w:t>
      </w:r>
      <w:hyperlink r:id="rId70">
        <w:r>
          <w:rPr>
            <w:rStyle w:val="Hyperlink"/>
          </w:rPr>
          <w:t xml:space="preserve">https://doi.org/10.1098/rstb.2010.0217</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ioannou.etal2012"/>
    <w:p>
      <w:pPr>
        <w:pStyle w:val="Bibliography"/>
      </w:pPr>
      <w:r>
        <w:t xml:space="preserve">Ioannou, C. C., V. Guttal, and I. D. Couzin. 2012.</w:t>
      </w:r>
      <w:r>
        <w:t xml:space="preserve"> </w:t>
      </w:r>
      <w:r>
        <w:t xml:space="preserve">“Predatory Fish Select for Coordinated Collective Motion in Virtual Prey.”</w:t>
      </w:r>
      <w:r>
        <w:t xml:space="preserve"> </w:t>
      </w:r>
      <w:r>
        <w:rPr>
          <w:iCs/>
          <w:i/>
        </w:rPr>
        <w:t xml:space="preserve">Science</w:t>
      </w:r>
      <w:r>
        <w:t xml:space="preserve"> </w:t>
      </w:r>
      <w:r>
        <w:t xml:space="preserve">337 (6099): 1212–15.</w:t>
      </w:r>
      <w:r>
        <w:t xml:space="preserve"> </w:t>
      </w:r>
      <w:hyperlink r:id="rId94">
        <w:r>
          <w:rPr>
            <w:rStyle w:val="Hyperlink"/>
          </w:rPr>
          <w:t xml:space="preserve">https://doi.org/10.1126/science.1218919</w:t>
        </w:r>
      </w:hyperlink>
      <w:r>
        <w:t xml:space="preserve">.</w:t>
      </w:r>
    </w:p>
    <w:bookmarkEnd w:id="95"/>
    <w:bookmarkStart w:id="97" w:name="ref-jones2011"/>
    <w:p>
      <w:pPr>
        <w:pStyle w:val="Bibliography"/>
      </w:pPr>
      <w:r>
        <w:t xml:space="preserve">Jones, Katherine A., Andrew L. Jackson, and Graeme D. Ruxton. 2011.</w:t>
      </w:r>
      <w:r>
        <w:t xml:space="preserve"> </w:t>
      </w:r>
      <w:r>
        <w:t xml:space="preserve">“Prey</w:t>
      </w:r>
      <w:r>
        <w:t xml:space="preserve"> </w:t>
      </w:r>
      <w:r>
        <w:t xml:space="preserve">Jitters</w:t>
      </w:r>
      <w:r>
        <w:t xml:space="preserve">;</w:t>
      </w:r>
      <w:r>
        <w:t xml:space="preserve"> </w:t>
      </w:r>
      <w:r>
        <w:t xml:space="preserve">Protean Behaviour</w:t>
      </w:r>
      <w:r>
        <w:t xml:space="preserve"> </w:t>
      </w:r>
      <w:r>
        <w:t xml:space="preserve">in</w:t>
      </w:r>
      <w:r>
        <w:t xml:space="preserve"> </w:t>
      </w:r>
      <w:r>
        <w:t xml:space="preserve">Grouped Prey</w:t>
      </w:r>
      <w:r>
        <w:t xml:space="preserve">.”</w:t>
      </w:r>
      <w:r>
        <w:t xml:space="preserve"> </w:t>
      </w:r>
      <w:r>
        <w:rPr>
          <w:iCs/>
          <w:i/>
        </w:rPr>
        <w:t xml:space="preserve">Behavioral Ecology</w:t>
      </w:r>
      <w:r>
        <w:t xml:space="preserve"> </w:t>
      </w:r>
      <w:r>
        <w:t xml:space="preserve">22 (4): 831–36.</w:t>
      </w:r>
      <w:r>
        <w:t xml:space="preserve"> </w:t>
      </w:r>
      <w:hyperlink r:id="rId96">
        <w:r>
          <w:rPr>
            <w:rStyle w:val="Hyperlink"/>
          </w:rPr>
          <w:t xml:space="preserve">https://doi.org/10.1093/beheco/arr062</w:t>
        </w:r>
      </w:hyperlink>
      <w:r>
        <w:t xml:space="preserve">.</w:t>
      </w:r>
    </w:p>
    <w:bookmarkEnd w:id="97"/>
    <w:bookmarkStart w:id="99"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8">
        <w:r>
          <w:rPr>
            <w:rStyle w:val="Hyperlink"/>
          </w:rPr>
          <w:t xml:space="preserve">https://doi.org/10.1098/rspb.2017.2182</w:t>
        </w:r>
      </w:hyperlink>
      <w:r>
        <w:t xml:space="preserve">.</w:t>
      </w:r>
    </w:p>
    <w:bookmarkEnd w:id="99"/>
    <w:bookmarkStart w:id="101"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100">
        <w:r>
          <w:rPr>
            <w:rStyle w:val="Hyperlink"/>
          </w:rPr>
          <w:t xml:space="preserve">https://doi.org/10.1002/9781444342536.ch3</w:t>
        </w:r>
      </w:hyperlink>
      <w:r>
        <w:t xml:space="preserve">.</w:t>
      </w:r>
    </w:p>
    <w:bookmarkEnd w:id="101"/>
    <w:bookmarkStart w:id="103"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102">
        <w:r>
          <w:rPr>
            <w:rStyle w:val="Hyperlink"/>
          </w:rPr>
          <w:t xml:space="preserve">https://doi.org/10.1086/724491</w:t>
        </w:r>
      </w:hyperlink>
      <w:r>
        <w:t xml:space="preserve">.</w:t>
      </w:r>
    </w:p>
    <w:bookmarkEnd w:id="103"/>
    <w:bookmarkStart w:id="105"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4">
        <w:r>
          <w:rPr>
            <w:rStyle w:val="Hyperlink"/>
          </w:rPr>
          <w:t xml:space="preserve">https://doi.org/10.1111/j.1365-2435.2009.01631.x</w:t>
        </w:r>
      </w:hyperlink>
      <w:r>
        <w:t xml:space="preserve">.</w:t>
      </w:r>
    </w:p>
    <w:bookmarkEnd w:id="105"/>
    <w:bookmarkStart w:id="107"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6">
        <w:r>
          <w:rPr>
            <w:rStyle w:val="Hyperlink"/>
          </w:rPr>
          <w:t xml:space="preserve">https://doi.org/10.1016/j.tree.2024.07.001</w:t>
        </w:r>
      </w:hyperlink>
      <w:r>
        <w:t xml:space="preserve">.</w:t>
      </w:r>
    </w:p>
    <w:bookmarkEnd w:id="107"/>
    <w:bookmarkStart w:id="109"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8">
        <w:r>
          <w:rPr>
            <w:rStyle w:val="Hyperlink"/>
          </w:rPr>
          <w:t xml:space="preserve">https://doi.org/10.1098/rspb.2011.2516</w:t>
        </w:r>
      </w:hyperlink>
      <w:r>
        <w:t xml:space="preserve">.</w:t>
      </w:r>
    </w:p>
    <w:bookmarkEnd w:id="109"/>
    <w:bookmarkStart w:id="111"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10">
        <w:r>
          <w:rPr>
            <w:rStyle w:val="Hyperlink"/>
          </w:rPr>
          <w:t xml:space="preserve">https://doi.org/10.1073/pnas.2217973120</w:t>
        </w:r>
      </w:hyperlink>
      <w:r>
        <w:t xml:space="preserve">.</w:t>
      </w:r>
    </w:p>
    <w:bookmarkEnd w:id="111"/>
    <w:bookmarkStart w:id="113"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12">
        <w:r>
          <w:rPr>
            <w:rStyle w:val="Hyperlink"/>
          </w:rPr>
          <w:t xml:space="preserve">https://doi.org/10.1007/s12110-007-9019-8</w:t>
        </w:r>
      </w:hyperlink>
      <w:r>
        <w:t xml:space="preserve">.</w:t>
      </w:r>
    </w:p>
    <w:bookmarkEnd w:id="113"/>
    <w:bookmarkStart w:id="115"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4">
        <w:r>
          <w:rPr>
            <w:rStyle w:val="Hyperlink"/>
          </w:rPr>
          <w:t xml:space="preserve">https://doi.org/10.1111/oik.08143</w:t>
        </w:r>
      </w:hyperlink>
      <w:r>
        <w:t xml:space="preserve">.</w:t>
      </w:r>
    </w:p>
    <w:bookmarkEnd w:id="115"/>
    <w:bookmarkStart w:id="117" w:name="ref-mazza2019"/>
    <w:p>
      <w:pPr>
        <w:pStyle w:val="Bibliography"/>
      </w:pPr>
      <w:r>
        <w:t xml:space="preserve">Mazza, Valeria, Jens Jacob, Melanie Dammhahn, Marco Zaccaroni, and Jana A. Eccard. 2019.</w:t>
      </w:r>
      <w:r>
        <w:t xml:space="preserve"> </w:t>
      </w:r>
      <w:r>
        <w:t xml:space="preserve">“Individual Variation in Cognitive Style Reflects Foraging and Anti-Predator Strategies in a Small Mammal.”</w:t>
      </w:r>
      <w:r>
        <w:t xml:space="preserve"> </w:t>
      </w:r>
      <w:r>
        <w:rPr>
          <w:iCs/>
          <w:i/>
        </w:rPr>
        <w:t xml:space="preserve">Scientific Reports</w:t>
      </w:r>
      <w:r>
        <w:t xml:space="preserve"> </w:t>
      </w:r>
      <w:r>
        <w:t xml:space="preserve">9 (1): 10157.</w:t>
      </w:r>
      <w:r>
        <w:t xml:space="preserve"> </w:t>
      </w:r>
      <w:hyperlink r:id="rId116">
        <w:r>
          <w:rPr>
            <w:rStyle w:val="Hyperlink"/>
          </w:rPr>
          <w:t xml:space="preserve">https://doi.org/10.1038/s41598-019-46582-1</w:t>
        </w:r>
      </w:hyperlink>
      <w:r>
        <w:t xml:space="preserve">.</w:t>
      </w:r>
    </w:p>
    <w:bookmarkEnd w:id="117"/>
    <w:bookmarkStart w:id="119"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8">
        <w:r>
          <w:rPr>
            <w:rStyle w:val="Hyperlink"/>
          </w:rPr>
          <w:t xml:space="preserve">https://doi.org/10.1016/j.tree.2025.02.003</w:t>
        </w:r>
      </w:hyperlink>
      <w:r>
        <w:t xml:space="preserve">.</w:t>
      </w:r>
    </w:p>
    <w:bookmarkEnd w:id="119"/>
    <w:bookmarkStart w:id="121" w:name="ref-moreira2004"/>
    <w:p>
      <w:pPr>
        <w:pStyle w:val="Bibliography"/>
      </w:pPr>
      <w:r>
        <w:t xml:space="preserve">Moreira, P. S. A., K. G. T. Pulman, and T. G. Pottinger. 2004.</w:t>
      </w:r>
      <w:r>
        <w:t xml:space="preserve"> </w:t>
      </w:r>
      <w:r>
        <w:t xml:space="preserve">“Extinction of a Conditioned Response in Rainbow Trout Selected for High or Low Responsiveness to Stress.”</w:t>
      </w:r>
      <w:r>
        <w:t xml:space="preserve"> </w:t>
      </w:r>
      <w:r>
        <w:rPr>
          <w:iCs/>
          <w:i/>
        </w:rPr>
        <w:t xml:space="preserve">Hormones and Behavior</w:t>
      </w:r>
      <w:r>
        <w:t xml:space="preserve"> </w:t>
      </w:r>
      <w:r>
        <w:t xml:space="preserve">46 (4): 450–57.</w:t>
      </w:r>
      <w:r>
        <w:t xml:space="preserve"> </w:t>
      </w:r>
      <w:hyperlink r:id="rId120">
        <w:r>
          <w:rPr>
            <w:rStyle w:val="Hyperlink"/>
          </w:rPr>
          <w:t xml:space="preserve">https://doi.org/10.1016/j.yhbeh.2004.05.003</w:t>
        </w:r>
      </w:hyperlink>
      <w:r>
        <w:t xml:space="preserve">.</w:t>
      </w:r>
    </w:p>
    <w:bookmarkEnd w:id="121"/>
    <w:bookmarkStart w:id="123"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22">
        <w:r>
          <w:rPr>
            <w:rStyle w:val="Hyperlink"/>
          </w:rPr>
          <w:t xml:space="preserve">https://doi.org/10.1006/anbe.2000.1546</w:t>
        </w:r>
      </w:hyperlink>
      <w:r>
        <w:t xml:space="preserve">.</w:t>
      </w:r>
    </w:p>
    <w:bookmarkEnd w:id="123"/>
    <w:bookmarkStart w:id="125"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24">
        <w:r>
          <w:rPr>
            <w:rStyle w:val="Hyperlink"/>
          </w:rPr>
          <w:t xml:space="preserve">https://doi.org/10.1016/bs.aecr.2015.01.001</w:t>
        </w:r>
      </w:hyperlink>
      <w:r>
        <w:t xml:space="preserve">.</w:t>
      </w:r>
    </w:p>
    <w:bookmarkEnd w:id="125"/>
    <w:bookmarkStart w:id="127"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26">
        <w:r>
          <w:rPr>
            <w:rStyle w:val="Hyperlink"/>
          </w:rPr>
          <w:t xml:space="preserve">https://doi.org/10.1007/s11222-016-9649-y</w:t>
        </w:r>
      </w:hyperlink>
      <w:r>
        <w:t xml:space="preserve">.</w:t>
      </w:r>
    </w:p>
    <w:bookmarkEnd w:id="127"/>
    <w:bookmarkStart w:id="129"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8">
        <w:r>
          <w:rPr>
            <w:rStyle w:val="Hyperlink"/>
          </w:rPr>
          <w:t xml:space="preserve">https://doi.org/10.1890/07-1580.1</w:t>
        </w:r>
      </w:hyperlink>
      <w:r>
        <w:t xml:space="preserve">.</w:t>
      </w:r>
    </w:p>
    <w:bookmarkEnd w:id="129"/>
    <w:bookmarkStart w:id="131"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30">
        <w:r>
          <w:rPr>
            <w:rStyle w:val="Hyperlink"/>
          </w:rPr>
          <w:t xml:space="preserve">https://doi.org/10.1163/000579509X12512871386137</w:t>
        </w:r>
      </w:hyperlink>
      <w:r>
        <w:t xml:space="preserve">.</w:t>
      </w:r>
    </w:p>
    <w:bookmarkEnd w:id="131"/>
    <w:bookmarkStart w:id="133" w:name="ref-richardson2018"/>
    <w:p>
      <w:pPr>
        <w:pStyle w:val="Bibliography"/>
      </w:pPr>
      <w:r>
        <w:t xml:space="preserve">Richardson, Graham, Patrick Dickinson, Oliver H. P. Burman, and Thomas W. Pike. 2018.</w:t>
      </w:r>
      <w:r>
        <w:t xml:space="preserve"> </w:t>
      </w:r>
      <w:r>
        <w:t xml:space="preserve">“Unpredictable Movement as an Anti-Predator Strategy.”</w:t>
      </w:r>
      <w:r>
        <w:t xml:space="preserve"> </w:t>
      </w:r>
      <w:r>
        <w:rPr>
          <w:iCs/>
          <w:i/>
        </w:rPr>
        <w:t xml:space="preserve">Proceedings of the Royal Society B: Biological Sciences</w:t>
      </w:r>
      <w:r>
        <w:t xml:space="preserve"> </w:t>
      </w:r>
      <w:r>
        <w:t xml:space="preserve">285 (1885): 20181112.</w:t>
      </w:r>
      <w:r>
        <w:t xml:space="preserve"> </w:t>
      </w:r>
      <w:hyperlink r:id="rId132">
        <w:r>
          <w:rPr>
            <w:rStyle w:val="Hyperlink"/>
          </w:rPr>
          <w:t xml:space="preserve">https://doi.org/10.1098/rspb.2018.1112</w:t>
        </w:r>
      </w:hyperlink>
      <w:r>
        <w:t xml:space="preserve">.</w:t>
      </w:r>
    </w:p>
    <w:bookmarkEnd w:id="133"/>
    <w:bookmarkStart w:id="135"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34">
        <w:r>
          <w:rPr>
            <w:rStyle w:val="Hyperlink"/>
          </w:rPr>
          <w:t xml:space="preserve">https://doi.org/10.1126/science.1241484</w:t>
        </w:r>
      </w:hyperlink>
      <w:r>
        <w:t xml:space="preserve">.</w:t>
      </w:r>
    </w:p>
    <w:bookmarkEnd w:id="135"/>
    <w:bookmarkStart w:id="137"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36">
        <w:r>
          <w:rPr>
            <w:rStyle w:val="Hyperlink"/>
          </w:rPr>
          <w:t xml:space="preserve">https://doi.org/10.1016/j.cub.2012.03.028</w:t>
        </w:r>
      </w:hyperlink>
      <w:r>
        <w:t xml:space="preserve">.</w:t>
      </w:r>
    </w:p>
    <w:bookmarkEnd w:id="137"/>
    <w:bookmarkStart w:id="139"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38">
        <w:r>
          <w:rPr>
            <w:rStyle w:val="Hyperlink"/>
          </w:rPr>
          <w:t xml:space="preserve">https://doi.org/10.1093/jeb/voae055</w:t>
        </w:r>
      </w:hyperlink>
      <w:r>
        <w:t xml:space="preserve">.</w:t>
      </w:r>
    </w:p>
    <w:bookmarkEnd w:id="139"/>
    <w:bookmarkStart w:id="141"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40">
        <w:r>
          <w:rPr>
            <w:rStyle w:val="Hyperlink"/>
          </w:rPr>
          <w:t xml:space="preserve">https://doi.org/10.12688/f1000research.11813.1</w:t>
        </w:r>
      </w:hyperlink>
      <w:r>
        <w:t xml:space="preserve">.</w:t>
      </w:r>
    </w:p>
    <w:bookmarkEnd w:id="141"/>
    <w:bookmarkStart w:id="143" w:name="ref-sih2012"/>
    <w:p>
      <w:pPr>
        <w:pStyle w:val="Bibliography"/>
      </w:pPr>
      <w:r>
        <w:t xml:space="preserve">Sih, Andrew, and Marco Del Giudice. 2012.</w:t>
      </w:r>
      <w:r>
        <w:t xml:space="preserve"> </w:t>
      </w:r>
      <w:r>
        <w:t xml:space="preserve">“Linking Behavioural Syndromes and Cognition: A Behavioural Ecology Perspective.”</w:t>
      </w:r>
      <w:r>
        <w:t xml:space="preserve"> </w:t>
      </w:r>
      <w:r>
        <w:rPr>
          <w:iCs/>
          <w:i/>
        </w:rPr>
        <w:t xml:space="preserve">Philosophical Transactions of the Royal Society B: Biological Sciences</w:t>
      </w:r>
      <w:r>
        <w:t xml:space="preserve"> </w:t>
      </w:r>
      <w:r>
        <w:t xml:space="preserve">367 (1603): 2762–72.</w:t>
      </w:r>
      <w:r>
        <w:t xml:space="preserve"> </w:t>
      </w:r>
      <w:hyperlink r:id="rId142">
        <w:r>
          <w:rPr>
            <w:rStyle w:val="Hyperlink"/>
          </w:rPr>
          <w:t xml:space="preserve">https://doi.org/10.1098/rstb.2012.0216</w:t>
        </w:r>
      </w:hyperlink>
      <w:r>
        <w:t xml:space="preserve">.</w:t>
      </w:r>
    </w:p>
    <w:bookmarkEnd w:id="143"/>
    <w:bookmarkStart w:id="145"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44">
        <w:r>
          <w:rPr>
            <w:rStyle w:val="Hyperlink"/>
          </w:rPr>
          <w:t xml:space="preserve">https://doi.org/10.1098/rspb.2015.2890</w:t>
        </w:r>
      </w:hyperlink>
      <w:r>
        <w:t xml:space="preserve">.</w:t>
      </w:r>
    </w:p>
    <w:bookmarkEnd w:id="145"/>
    <w:bookmarkStart w:id="146"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46"/>
    <w:bookmarkStart w:id="148"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47">
        <w:r>
          <w:rPr>
            <w:rStyle w:val="Hyperlink"/>
          </w:rPr>
          <w:t xml:space="preserve">https://doi.org/10.1093/beheco/ars156</w:t>
        </w:r>
      </w:hyperlink>
      <w:r>
        <w:t xml:space="preserve">.</w:t>
      </w:r>
    </w:p>
    <w:bookmarkEnd w:id="148"/>
    <w:bookmarkStart w:id="150"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49">
        <w:r>
          <w:rPr>
            <w:rStyle w:val="Hyperlink"/>
          </w:rPr>
          <w:t xml:space="preserve">https://doi.org/10.1016/j.biocon.2019.05.054</w:t>
        </w:r>
      </w:hyperlink>
      <w:r>
        <w:t xml:space="preserve">.</w:t>
      </w:r>
    </w:p>
    <w:bookmarkEnd w:id="150"/>
    <w:bookmarkStart w:id="152"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51">
        <w:r>
          <w:rPr>
            <w:rStyle w:val="Hyperlink"/>
          </w:rPr>
          <w:t xml:space="preserve">https://doi.org/10.1371/journal.pone.0073733</w:t>
        </w:r>
      </w:hyperlink>
      <w:r>
        <w:t xml:space="preserve">.</w:t>
      </w:r>
    </w:p>
    <w:bookmarkEnd w:id="152"/>
    <w:bookmarkStart w:id="154"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53">
        <w:r>
          <w:rPr>
            <w:rStyle w:val="Hyperlink"/>
          </w:rPr>
          <w:t xml:space="preserve">https://doi.org/10.1098/rspb.2018.1386</w:t>
        </w:r>
      </w:hyperlink>
      <w:r>
        <w:t xml:space="preserve">.</w:t>
      </w:r>
    </w:p>
    <w:bookmarkEnd w:id="154"/>
    <w:bookmarkStart w:id="156"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55">
        <w:r>
          <w:rPr>
            <w:rStyle w:val="Hyperlink"/>
          </w:rPr>
          <w:t xml:space="preserve">https://doi.org/10.1016/j.anbehav.2006.05.010</w:t>
        </w:r>
      </w:hyperlink>
      <w:r>
        <w:t xml:space="preserve">.</w:t>
      </w:r>
    </w:p>
    <w:bookmarkEnd w:id="156"/>
    <w:bookmarkStart w:id="158"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57">
        <w:r>
          <w:rPr>
            <w:rStyle w:val="Hyperlink"/>
          </w:rPr>
          <w:t xml:space="preserve">https://doi.org/10.1007/s11222-016-9696-4</w:t>
        </w:r>
      </w:hyperlink>
      <w:r>
        <w:t xml:space="preserve">.</w:t>
      </w:r>
    </w:p>
    <w:bookmarkEnd w:id="158"/>
    <w:bookmarkStart w:id="160"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59">
        <w:r>
          <w:rPr>
            <w:rStyle w:val="Hyperlink"/>
          </w:rPr>
          <w:t xml:space="preserve">https://doi.org/10.1214/20-BA1221</w:t>
        </w:r>
      </w:hyperlink>
      <w:r>
        <w:t xml:space="preserve">.</w:t>
      </w:r>
    </w:p>
    <w:bookmarkEnd w:id="160"/>
    <w:bookmarkStart w:id="162"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61">
        <w:r>
          <w:rPr>
            <w:rStyle w:val="Hyperlink"/>
          </w:rPr>
          <w:t xml:space="preserve">https://doi.org/10.1111/j.1365-2435.2005.01033.x</w:t>
        </w:r>
      </w:hyperlink>
      <w:r>
        <w:t xml:space="preserve">.</w:t>
      </w:r>
    </w:p>
    <w:bookmarkEnd w:id="162"/>
    <w:bookmarkStart w:id="164"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63">
        <w:r>
          <w:rPr>
            <w:rStyle w:val="Hyperlink"/>
          </w:rPr>
          <w:t xml:space="preserve">http://jmlr.org/papers/v11/watanabe10a.html</w:t>
        </w:r>
      </w:hyperlink>
      <w:r>
        <w:t xml:space="preserve">.</w:t>
      </w:r>
    </w:p>
    <w:bookmarkEnd w:id="164"/>
    <w:bookmarkStart w:id="166"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65">
        <w:r>
          <w:rPr>
            <w:rStyle w:val="Hyperlink"/>
          </w:rPr>
          <w:t xml:space="preserve">https://doi.org/10.1007/s00265-014-1861-1</w:t>
        </w:r>
      </w:hyperlink>
      <w:r>
        <w:t xml:space="preserve">.</w:t>
      </w:r>
    </w:p>
    <w:bookmarkEnd w:id="166"/>
    <w:bookmarkStart w:id="168"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67">
        <w:r>
          <w:rPr>
            <w:rStyle w:val="Hyperlink"/>
          </w:rPr>
          <w:t xml:space="preserve">https://doi.org/10.1111/ele.13614</w:t>
        </w:r>
      </w:hyperlink>
      <w:r>
        <w:t xml:space="preserve">.</w:t>
      </w:r>
    </w:p>
    <w:bookmarkEnd w:id="168"/>
    <w:bookmarkStart w:id="170"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69">
        <w:r>
          <w:rPr>
            <w:rStyle w:val="Hyperlink"/>
          </w:rPr>
          <w:t xml:space="preserve">https://doi.org/10.1111/j.1365-2656.2008.01429.x</w:t>
        </w:r>
      </w:hyperlink>
      <w:r>
        <w:t xml:space="preserve">.</w:t>
      </w:r>
    </w:p>
    <w:bookmarkEnd w:id="170"/>
    <w:bookmarkStart w:id="172"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71">
        <w:r>
          <w:rPr>
            <w:rStyle w:val="Hyperlink"/>
          </w:rPr>
          <w:t xml:space="preserve">https://doi.org/10.1016/j.tree.2023.09.012</w:t>
        </w:r>
      </w:hyperlink>
      <w:r>
        <w:t xml:space="preserve">.</w:t>
      </w:r>
    </w:p>
    <w:bookmarkEnd w:id="172"/>
    <w:bookmarkStart w:id="174"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73">
        <w:r>
          <w:rPr>
            <w:rStyle w:val="Hyperlink"/>
          </w:rPr>
          <w:t xml:space="preserve">https://doi.org/10.1111/brv.12879</w:t>
        </w:r>
      </w:hyperlink>
      <w:r>
        <w:t xml:space="preserve">.</w:t>
      </w:r>
    </w:p>
    <w:bookmarkEnd w:id="174"/>
    <w:bookmarkEnd w:id="175"/>
    <w:bookmarkEnd w:id="176"/>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hyperlink" Id="rId163"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2" Target="https://doi.org/10.1006/anbe.2000.1546" TargetMode="External" /><Relationship Type="http://schemas.openxmlformats.org/officeDocument/2006/relationships/hyperlink" Id="rId165"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6" Target="https://doi.org/10.1007/s11222-016-9649-y" TargetMode="External" /><Relationship Type="http://schemas.openxmlformats.org/officeDocument/2006/relationships/hyperlink" Id="rId157"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4" Target="https://doi.org/10.1016/bs.aecr.2015.01.001" TargetMode="External" /><Relationship Type="http://schemas.openxmlformats.org/officeDocument/2006/relationships/hyperlink" Id="rId155"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9" Target="https://doi.org/10.1016/j.biocon.2019.05.054" TargetMode="External" /><Relationship Type="http://schemas.openxmlformats.org/officeDocument/2006/relationships/hyperlink" Id="rId136" Target="https://doi.org/10.1016/j.cub.2012.03.028" TargetMode="External" /><Relationship Type="http://schemas.openxmlformats.org/officeDocument/2006/relationships/hyperlink" Id="rId171"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8" Target="https://doi.org/10.1016/j.tree.2025.02.003" TargetMode="External" /><Relationship Type="http://schemas.openxmlformats.org/officeDocument/2006/relationships/hyperlink" Id="rId120"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6" Target="https://doi.org/10.1038/s41598-019-46582-1"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7" Target="https://doi.org/10.1093/beheco/ars156" TargetMode="External" /><Relationship Type="http://schemas.openxmlformats.org/officeDocument/2006/relationships/hyperlink" Id="rId138"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4"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2" Target="https://doi.org/10.1098/rspb.2018.1112" TargetMode="External" /><Relationship Type="http://schemas.openxmlformats.org/officeDocument/2006/relationships/hyperlink" Id="rId153"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2"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3" Target="https://doi.org/10.1111/brv.12879" TargetMode="External" /><Relationship Type="http://schemas.openxmlformats.org/officeDocument/2006/relationships/hyperlink" Id="rId167" Target="https://doi.org/10.1111/ele.13614" TargetMode="External" /><Relationship Type="http://schemas.openxmlformats.org/officeDocument/2006/relationships/hyperlink" Id="rId161"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9"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4"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30" Target="https://doi.org/10.1163/000579509X12512871386137" TargetMode="External" /><Relationship Type="http://schemas.openxmlformats.org/officeDocument/2006/relationships/hyperlink" Id="rId159"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40" Target="https://doi.org/10.12688/f1000research.11813.1" TargetMode="External" /><Relationship Type="http://schemas.openxmlformats.org/officeDocument/2006/relationships/hyperlink" Id="rId151"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8" Target="https://doi.org/10.1890/07-1580.1" TargetMode="External" /><Relationship Type="http://schemas.openxmlformats.org/officeDocument/2006/relationships/hyperlink" Id="rId24"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63" Target="http://jmlr.org/papers/v11/watanabe10a.html" TargetMode="External" /><Relationship Type="http://schemas.openxmlformats.org/officeDocument/2006/relationships/hyperlink" Id="rId22" Target="https://deadbydaylight.fandom.com/wiki/Killers" TargetMode="External" /><Relationship Type="http://schemas.openxmlformats.org/officeDocument/2006/relationships/hyperlink" Id="rId26" Target="https://deadbydaylight.fandom.com/wiki/Rank" TargetMode="External" /><Relationship Type="http://schemas.openxmlformats.org/officeDocument/2006/relationships/hyperlink" Id="rId23" Target="https://deadbydaylight.fandom.com/wiki/Realms" TargetMode="External" /><Relationship Type="http://schemas.openxmlformats.org/officeDocument/2006/relationships/hyperlink" Id="rId30" Target="https://docs.alliancecan.ca/wiki/Fir" TargetMode="External" /><Relationship Type="http://schemas.openxmlformats.org/officeDocument/2006/relationships/hyperlink" Id="rId100" Target="https://doi.org/10.1002/9781444342536.ch3" TargetMode="External" /><Relationship Type="http://schemas.openxmlformats.org/officeDocument/2006/relationships/hyperlink" Id="rId122" Target="https://doi.org/10.1006/anbe.2000.1546" TargetMode="External" /><Relationship Type="http://schemas.openxmlformats.org/officeDocument/2006/relationships/hyperlink" Id="rId165" Target="https://doi.org/10.1007/s00265-014-1861-1" TargetMode="External" /><Relationship Type="http://schemas.openxmlformats.org/officeDocument/2006/relationships/hyperlink" Id="rId58" Target="https://doi.org/10.1007/s00265-020-02833-0" TargetMode="External" /><Relationship Type="http://schemas.openxmlformats.org/officeDocument/2006/relationships/hyperlink" Id="rId64"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26" Target="https://doi.org/10.1007/s11222-016-9649-y" TargetMode="External" /><Relationship Type="http://schemas.openxmlformats.org/officeDocument/2006/relationships/hyperlink" Id="rId157" Target="https://doi.org/10.1007/s11222-016-9696-4" TargetMode="External" /><Relationship Type="http://schemas.openxmlformats.org/officeDocument/2006/relationships/hyperlink" Id="rId112" Target="https://doi.org/10.1007/s12110-007-9019-8" TargetMode="External" /><Relationship Type="http://schemas.openxmlformats.org/officeDocument/2006/relationships/hyperlink" Id="rId124" Target="https://doi.org/10.1016/bs.aecr.2015.01.001" TargetMode="External" /><Relationship Type="http://schemas.openxmlformats.org/officeDocument/2006/relationships/hyperlink" Id="rId155"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6" Target="https://doi.org/10.1016/j.anbehav.2021.06.010" TargetMode="External" /><Relationship Type="http://schemas.openxmlformats.org/officeDocument/2006/relationships/hyperlink" Id="rId149" Target="https://doi.org/10.1016/j.biocon.2019.05.054" TargetMode="External" /><Relationship Type="http://schemas.openxmlformats.org/officeDocument/2006/relationships/hyperlink" Id="rId136" Target="https://doi.org/10.1016/j.cub.2012.03.028" TargetMode="External" /><Relationship Type="http://schemas.openxmlformats.org/officeDocument/2006/relationships/hyperlink" Id="rId171" Target="https://doi.org/10.1016/j.tree.2023.09.012" TargetMode="External" /><Relationship Type="http://schemas.openxmlformats.org/officeDocument/2006/relationships/hyperlink" Id="rId106" Target="https://doi.org/10.1016/j.tree.2024.07.001" TargetMode="External" /><Relationship Type="http://schemas.openxmlformats.org/officeDocument/2006/relationships/hyperlink" Id="rId118" Target="https://doi.org/10.1016/j.tree.2025.02.003" TargetMode="External" /><Relationship Type="http://schemas.openxmlformats.org/officeDocument/2006/relationships/hyperlink" Id="rId120" Target="https://doi.org/10.1016/j.yhbeh.2004.05.003" TargetMode="External" /><Relationship Type="http://schemas.openxmlformats.org/officeDocument/2006/relationships/hyperlink" Id="rId68" Target="https://doi.org/10.1037/xge0001710" TargetMode="External" /><Relationship Type="http://schemas.openxmlformats.org/officeDocument/2006/relationships/hyperlink" Id="rId116" Target="https://doi.org/10.1038/s41598-019-46582-1" TargetMode="External" /><Relationship Type="http://schemas.openxmlformats.org/officeDocument/2006/relationships/hyperlink" Id="rId110"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102"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96" Target="https://doi.org/10.1093/beheco/arr062" TargetMode="External" /><Relationship Type="http://schemas.openxmlformats.org/officeDocument/2006/relationships/hyperlink" Id="rId147" Target="https://doi.org/10.1093/beheco/ars156" TargetMode="External" /><Relationship Type="http://schemas.openxmlformats.org/officeDocument/2006/relationships/hyperlink" Id="rId138" Target="https://doi.org/10.1093/jeb/voae055" TargetMode="External" /><Relationship Type="http://schemas.openxmlformats.org/officeDocument/2006/relationships/hyperlink" Id="rId108" Target="https://doi.org/10.1098/rspb.2011.2516" TargetMode="External" /><Relationship Type="http://schemas.openxmlformats.org/officeDocument/2006/relationships/hyperlink" Id="rId144" Target="https://doi.org/10.1098/rspb.2015.2890" TargetMode="External" /><Relationship Type="http://schemas.openxmlformats.org/officeDocument/2006/relationships/hyperlink" Id="rId60" Target="https://doi.org/10.1098/rspb.2017.2146" TargetMode="External" /><Relationship Type="http://schemas.openxmlformats.org/officeDocument/2006/relationships/hyperlink" Id="rId98" Target="https://doi.org/10.1098/rspb.2017.2182" TargetMode="External" /><Relationship Type="http://schemas.openxmlformats.org/officeDocument/2006/relationships/hyperlink" Id="rId132" Target="https://doi.org/10.1098/rspb.2018.1112" TargetMode="External" /><Relationship Type="http://schemas.openxmlformats.org/officeDocument/2006/relationships/hyperlink" Id="rId153" Target="https://doi.org/10.1098/rspb.2018.1386" TargetMode="External" /><Relationship Type="http://schemas.openxmlformats.org/officeDocument/2006/relationships/hyperlink" Id="rId70" Target="https://doi.org/10.1098/rstb.2010.0217" TargetMode="External" /><Relationship Type="http://schemas.openxmlformats.org/officeDocument/2006/relationships/hyperlink" Id="rId142" Target="https://doi.org/10.1098/rstb.2012.0216" TargetMode="External" /><Relationship Type="http://schemas.openxmlformats.org/officeDocument/2006/relationships/hyperlink" Id="rId76" Target="https://doi.org/10.1098/rstb.2016.0427" TargetMode="External" /><Relationship Type="http://schemas.openxmlformats.org/officeDocument/2006/relationships/hyperlink" Id="rId173" Target="https://doi.org/10.1111/brv.12879" TargetMode="External" /><Relationship Type="http://schemas.openxmlformats.org/officeDocument/2006/relationships/hyperlink" Id="rId167" Target="https://doi.org/10.1111/ele.13614" TargetMode="External" /><Relationship Type="http://schemas.openxmlformats.org/officeDocument/2006/relationships/hyperlink" Id="rId161" Target="https://doi.org/10.1111/j.1365-2435.2005.01033.x" TargetMode="External" /><Relationship Type="http://schemas.openxmlformats.org/officeDocument/2006/relationships/hyperlink" Id="rId104" Target="https://doi.org/10.1111/j.1365-2435.2009.01631.x" TargetMode="External" /><Relationship Type="http://schemas.openxmlformats.org/officeDocument/2006/relationships/hyperlink" Id="rId169"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4" Target="https://doi.org/10.1111/oik.08143" TargetMode="External" /><Relationship Type="http://schemas.openxmlformats.org/officeDocument/2006/relationships/hyperlink" Id="rId94" Target="https://doi.org/10.1126/science.1218919" TargetMode="External" /><Relationship Type="http://schemas.openxmlformats.org/officeDocument/2006/relationships/hyperlink" Id="rId134" Target="https://doi.org/10.1126/science.1241484" TargetMode="External" /><Relationship Type="http://schemas.openxmlformats.org/officeDocument/2006/relationships/hyperlink" Id="rId56" Target="https://doi.org/10.1146/annurev.ecolsys.31.1.79" TargetMode="External" /><Relationship Type="http://schemas.openxmlformats.org/officeDocument/2006/relationships/hyperlink" Id="rId130" Target="https://doi.org/10.1163/000579509X12512871386137" TargetMode="External" /><Relationship Type="http://schemas.openxmlformats.org/officeDocument/2006/relationships/hyperlink" Id="rId159"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40" Target="https://doi.org/10.12688/f1000research.11813.1" TargetMode="External" /><Relationship Type="http://schemas.openxmlformats.org/officeDocument/2006/relationships/hyperlink" Id="rId151" Target="https://doi.org/10.1371/journal.pone.0073733" TargetMode="External" /><Relationship Type="http://schemas.openxmlformats.org/officeDocument/2006/relationships/hyperlink" Id="rId62" Target="https://doi.org/10.18637/jss.v080.i01" TargetMode="External" /><Relationship Type="http://schemas.openxmlformats.org/officeDocument/2006/relationships/hyperlink" Id="rId128" Target="https://doi.org/10.1890/07-1580.1" TargetMode="External" /><Relationship Type="http://schemas.openxmlformats.org/officeDocument/2006/relationships/hyperlink" Id="rId24"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role of prey behaviour in predator expertise acquisition: insights from a virtual ecosystem</dc:title>
  <dc:creator/>
  <cp:keywords/>
  <dcterms:created xsi:type="dcterms:W3CDTF">2026-02-21T00:43:16Z</dcterms:created>
  <dcterms:modified xsi:type="dcterms:W3CDTF">2026-02-21T00:43:16Z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